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00" w:type="dxa"/>
        <w:jc w:val="center"/>
        <w:tblCellSpacing w:w="0" w:type="dxa"/>
        <w:tblCellMar>
          <w:left w:w="0" w:type="dxa"/>
          <w:right w:w="0" w:type="dxa"/>
        </w:tblCellMar>
        <w:tblLook w:val="04A0" w:firstRow="1" w:lastRow="0" w:firstColumn="1" w:lastColumn="0" w:noHBand="0" w:noVBand="1"/>
      </w:tblPr>
      <w:tblGrid>
        <w:gridCol w:w="10725"/>
      </w:tblGrid>
      <w:tr w:rsidR="0010590F" w14:paraId="1E526D51" w14:textId="77777777" w:rsidTr="0010590F">
        <w:trPr>
          <w:tblCellSpacing w:w="0" w:type="dxa"/>
          <w:jc w:val="center"/>
        </w:trPr>
        <w:tc>
          <w:tcPr>
            <w:tcW w:w="0" w:type="auto"/>
            <w:vAlign w:val="center"/>
          </w:tcPr>
          <w:tbl>
            <w:tblPr>
              <w:tblW w:w="0" w:type="auto"/>
              <w:tblCellSpacing w:w="15" w:type="dxa"/>
              <w:tblLook w:val="04A0" w:firstRow="1" w:lastRow="0" w:firstColumn="1" w:lastColumn="0" w:noHBand="0" w:noVBand="1"/>
            </w:tblPr>
            <w:tblGrid>
              <w:gridCol w:w="96"/>
            </w:tblGrid>
            <w:tr w:rsidR="0010590F" w14:paraId="21B45DCF" w14:textId="77777777">
              <w:trPr>
                <w:tblCellSpacing w:w="15" w:type="dxa"/>
              </w:trPr>
              <w:tc>
                <w:tcPr>
                  <w:tcW w:w="0" w:type="auto"/>
                  <w:tcMar>
                    <w:top w:w="15" w:type="dxa"/>
                    <w:left w:w="15" w:type="dxa"/>
                    <w:bottom w:w="15" w:type="dxa"/>
                    <w:right w:w="15" w:type="dxa"/>
                  </w:tcMar>
                  <w:vAlign w:val="center"/>
                  <w:hideMark/>
                </w:tcPr>
                <w:p w14:paraId="68B5CE33" w14:textId="77777777" w:rsidR="0010590F" w:rsidRDefault="0010590F">
                  <w:bookmarkStart w:id="0" w:name="gd_top"/>
                  <w:bookmarkStart w:id="1" w:name="_GoBack"/>
                  <w:bookmarkEnd w:id="1"/>
                </w:p>
              </w:tc>
            </w:tr>
          </w:tbl>
          <w:p w14:paraId="1F7F9B87" w14:textId="77777777" w:rsidR="0010590F" w:rsidRDefault="0010590F">
            <w:pPr>
              <w:pStyle w:val="NormalWeb"/>
            </w:pPr>
            <w:r>
              <w:rPr>
                <w:noProof/>
              </w:rPr>
              <w:drawing>
                <wp:inline distT="0" distB="0" distL="0" distR="0" wp14:anchorId="2414C9F2" wp14:editId="4C94205B">
                  <wp:extent cx="2419350" cy="981075"/>
                  <wp:effectExtent l="0" t="0" r="0" b="9525"/>
                  <wp:docPr id="3" name="Picture 3" descr="Cybersecurity and Infrastructure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security and Infrastructure Security Agenc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981075"/>
                          </a:xfrm>
                          <a:prstGeom prst="rect">
                            <a:avLst/>
                          </a:prstGeom>
                          <a:noFill/>
                          <a:ln>
                            <a:noFill/>
                          </a:ln>
                        </pic:spPr>
                      </pic:pic>
                    </a:graphicData>
                  </a:graphic>
                </wp:inline>
              </w:drawing>
            </w:r>
          </w:p>
          <w:p w14:paraId="7D7E4EE6" w14:textId="77777777" w:rsidR="0010590F" w:rsidRDefault="0010590F">
            <w:pPr>
              <w:pStyle w:val="NormalWeb"/>
            </w:pPr>
            <w:r>
              <w:t>CISA Partners and Stakeholders:</w:t>
            </w:r>
          </w:p>
          <w:p w14:paraId="71A5CAFB" w14:textId="77777777" w:rsidR="0010590F" w:rsidRDefault="0010590F">
            <w:pPr>
              <w:pStyle w:val="NormalWeb"/>
            </w:pPr>
            <w:r>
              <w:t xml:space="preserve">Please find below an important update from the Centers for Disease Control and Prevention (CDC) and the Cybersecurity and Infrastructure Security Agency (CISA) regarding the continued health, safety, and protection of Essential Critical Infrastructure Workers who may have been exposed to COVID-19. These two important informational products include </w:t>
            </w:r>
            <w:r>
              <w:rPr>
                <w:rStyle w:val="Emphasis"/>
              </w:rPr>
              <w:t>Interim Guidance for Implementing Safety Practices for Critical Infrastructure Workers Who May Have Had Exposure to a Person with Suspected or Confirmed COVID-19</w:t>
            </w:r>
            <w:r>
              <w:t xml:space="preserve"> and a quick reference of the </w:t>
            </w:r>
            <w:hyperlink r:id="rId6" w:tgtFrame="_blank" w:history="1">
              <w:r>
                <w:rPr>
                  <w:rStyle w:val="Hyperlink"/>
                </w:rPr>
                <w:t>Do’s and Don’ts</w:t>
              </w:r>
            </w:hyperlink>
            <w:r>
              <w:t xml:space="preserve"> for employers and employees related to COVID-19 exposures.</w:t>
            </w:r>
          </w:p>
          <w:p w14:paraId="00690216" w14:textId="77777777" w:rsidR="0010590F" w:rsidRDefault="0010590F">
            <w:pPr>
              <w:pStyle w:val="NormalWeb"/>
            </w:pPr>
            <w:r>
              <w:t xml:space="preserve">While the </w:t>
            </w:r>
            <w:hyperlink r:id="rId7" w:tgtFrame="_blank" w:tooltip="Interim Guidance" w:history="1">
              <w:r>
                <w:rPr>
                  <w:rStyle w:val="Hyperlink"/>
                </w:rPr>
                <w:t>Interim Guidance</w:t>
              </w:r>
            </w:hyperlink>
            <w:r>
              <w:t xml:space="preserve"> specifically calls attention to critical infrastructure workers serving in the specific capacities and functions, as below, the guidance can apply to all critical infrastructure workers with the exception of Healthcare Providers who are covered under </w:t>
            </w:r>
            <w:hyperlink r:id="rId8" w:tgtFrame="_blank" w:tooltip="separate guidance" w:history="1">
              <w:r>
                <w:rPr>
                  <w:rStyle w:val="Hyperlink"/>
                </w:rPr>
                <w:t>separate guidance</w:t>
              </w:r>
            </w:hyperlink>
            <w:r>
              <w:t>.</w:t>
            </w:r>
          </w:p>
          <w:p w14:paraId="5781C60E" w14:textId="77777777" w:rsidR="0010590F" w:rsidRDefault="0010590F" w:rsidP="0013192C">
            <w:pPr>
              <w:numPr>
                <w:ilvl w:val="0"/>
                <w:numId w:val="1"/>
              </w:numPr>
              <w:spacing w:before="100" w:beforeAutospacing="1" w:after="100" w:afterAutospacing="1"/>
              <w:rPr>
                <w:rFonts w:eastAsia="Times New Roman"/>
              </w:rPr>
            </w:pPr>
            <w:r>
              <w:rPr>
                <w:rFonts w:eastAsia="Times New Roman"/>
              </w:rPr>
              <w:t>Federal, state, &amp; local law enforcement</w:t>
            </w:r>
          </w:p>
          <w:p w14:paraId="2897EC8B" w14:textId="77777777" w:rsidR="0010590F" w:rsidRDefault="0010590F" w:rsidP="0013192C">
            <w:pPr>
              <w:numPr>
                <w:ilvl w:val="0"/>
                <w:numId w:val="1"/>
              </w:numPr>
              <w:spacing w:before="100" w:beforeAutospacing="1" w:after="100" w:afterAutospacing="1"/>
              <w:rPr>
                <w:rFonts w:eastAsia="Times New Roman"/>
              </w:rPr>
            </w:pPr>
            <w:r>
              <w:rPr>
                <w:rFonts w:eastAsia="Times New Roman"/>
              </w:rPr>
              <w:t>911 call center employees</w:t>
            </w:r>
          </w:p>
          <w:p w14:paraId="675A501C" w14:textId="77777777" w:rsidR="0010590F" w:rsidRDefault="0010590F" w:rsidP="0013192C">
            <w:pPr>
              <w:numPr>
                <w:ilvl w:val="0"/>
                <w:numId w:val="1"/>
              </w:numPr>
              <w:spacing w:before="100" w:beforeAutospacing="1" w:after="100" w:afterAutospacing="1"/>
              <w:rPr>
                <w:rFonts w:eastAsia="Times New Roman"/>
              </w:rPr>
            </w:pPr>
            <w:r>
              <w:rPr>
                <w:rFonts w:eastAsia="Times New Roman"/>
              </w:rPr>
              <w:t>Fusion Center employees</w:t>
            </w:r>
          </w:p>
          <w:p w14:paraId="0EC0242E" w14:textId="77777777" w:rsidR="0010590F" w:rsidRDefault="0010590F" w:rsidP="0013192C">
            <w:pPr>
              <w:numPr>
                <w:ilvl w:val="0"/>
                <w:numId w:val="1"/>
              </w:numPr>
              <w:spacing w:before="100" w:beforeAutospacing="1" w:after="100" w:afterAutospacing="1"/>
              <w:rPr>
                <w:rFonts w:eastAsia="Times New Roman"/>
              </w:rPr>
            </w:pPr>
            <w:r>
              <w:rPr>
                <w:rFonts w:eastAsia="Times New Roman"/>
              </w:rPr>
              <w:t>Hazardous material responders from the government and the private sector</w:t>
            </w:r>
          </w:p>
          <w:p w14:paraId="7C38C2A9" w14:textId="77777777" w:rsidR="0010590F" w:rsidRDefault="0010590F" w:rsidP="0013192C">
            <w:pPr>
              <w:numPr>
                <w:ilvl w:val="0"/>
                <w:numId w:val="1"/>
              </w:numPr>
              <w:spacing w:before="100" w:beforeAutospacing="1" w:after="100" w:afterAutospacing="1"/>
              <w:rPr>
                <w:rFonts w:eastAsia="Times New Roman"/>
              </w:rPr>
            </w:pPr>
            <w:r>
              <w:rPr>
                <w:rFonts w:eastAsia="Times New Roman"/>
              </w:rPr>
              <w:t>Janitorial staff and other custodial staff</w:t>
            </w:r>
          </w:p>
          <w:p w14:paraId="2890D850" w14:textId="77777777" w:rsidR="0010590F" w:rsidRDefault="0010590F" w:rsidP="0013192C">
            <w:pPr>
              <w:numPr>
                <w:ilvl w:val="0"/>
                <w:numId w:val="1"/>
              </w:numPr>
              <w:spacing w:before="100" w:beforeAutospacing="1" w:after="100" w:afterAutospacing="1"/>
              <w:rPr>
                <w:rFonts w:eastAsia="Times New Roman"/>
              </w:rPr>
            </w:pPr>
            <w:r>
              <w:rPr>
                <w:rFonts w:eastAsia="Times New Roman"/>
              </w:rPr>
              <w:t>Workers – including contracted vendors – in food and agriculture, critical manufacturing, informational technology, transportation, energy and government facilities</w:t>
            </w:r>
          </w:p>
          <w:p w14:paraId="57C745E9" w14:textId="77777777" w:rsidR="0010590F" w:rsidRDefault="0010590F">
            <w:pPr>
              <w:pStyle w:val="NormalWeb"/>
            </w:pPr>
            <w:r>
              <w:t xml:space="preserve">Employers should implement the recommendations in the </w:t>
            </w:r>
            <w:hyperlink r:id="rId9" w:tgtFrame="_blank" w:tooltip="Interim Guidance" w:history="1">
              <w:r>
                <w:rPr>
                  <w:rStyle w:val="Hyperlink"/>
                </w:rPr>
                <w:t>Interim Guidance</w:t>
              </w:r>
            </w:hyperlink>
            <w:r>
              <w:t xml:space="preserve"> for Businesses and Employers, to Plan and Respond to Coronavirus Disease 2019, to help prevent and slow the spread of COVID-19 in the workplace.</w:t>
            </w:r>
          </w:p>
          <w:p w14:paraId="12D1D51D" w14:textId="77777777" w:rsidR="0010590F" w:rsidRDefault="0010590F">
            <w:pPr>
              <w:pStyle w:val="NormalWeb"/>
            </w:pPr>
            <w:r>
              <w:t xml:space="preserve">Please continue to monitor the CDC website for the most current </w:t>
            </w:r>
            <w:hyperlink r:id="rId10" w:tgtFrame="_blank" w:tooltip="medical guidance" w:history="1">
              <w:r>
                <w:rPr>
                  <w:rStyle w:val="Hyperlink"/>
                </w:rPr>
                <w:t>medical guidance</w:t>
              </w:r>
            </w:hyperlink>
            <w:r>
              <w:t>.</w:t>
            </w:r>
          </w:p>
          <w:p w14:paraId="16E9685E" w14:textId="77777777" w:rsidR="0010590F" w:rsidRDefault="0010590F">
            <w:pPr>
              <w:pStyle w:val="NormalWeb"/>
            </w:pPr>
            <w:r>
              <w:t>Stay Safe. Stay Healthy. Defend Today. Secure Tomorrow.</w:t>
            </w:r>
          </w:p>
          <w:p w14:paraId="1355A5C8" w14:textId="77777777" w:rsidR="0010590F" w:rsidRDefault="0010590F">
            <w:pPr>
              <w:pStyle w:val="NormalWeb"/>
            </w:pPr>
            <w:r>
              <w:t>Cybersecurity and Infrastructure Security Agency</w:t>
            </w:r>
          </w:p>
          <w:p w14:paraId="57C5B602" w14:textId="77777777" w:rsidR="0010590F" w:rsidRDefault="0010590F">
            <w:pPr>
              <w:pStyle w:val="NormalWeb"/>
            </w:pPr>
            <w:r>
              <w:t> </w:t>
            </w:r>
          </w:p>
          <w:p w14:paraId="56E44816" w14:textId="77777777" w:rsidR="0010590F" w:rsidRDefault="007E19DD">
            <w:pPr>
              <w:jc w:val="center"/>
              <w:rPr>
                <w:rFonts w:eastAsia="Times New Roman"/>
              </w:rPr>
            </w:pPr>
            <w:r>
              <w:rPr>
                <w:rFonts w:eastAsia="Times New Roman"/>
              </w:rPr>
              <w:pict w14:anchorId="69AA1BEC">
                <v:rect id="_x0000_i1025" style="width:468pt;height:.75pt" o:hralign="center" o:hrstd="t" o:hr="t" fillcolor="#a0a0a0" stroked="f"/>
              </w:pict>
            </w:r>
          </w:p>
          <w:tbl>
            <w:tblPr>
              <w:tblW w:w="10725" w:type="dxa"/>
              <w:tblCellSpacing w:w="0" w:type="dxa"/>
              <w:tblCellMar>
                <w:left w:w="0" w:type="dxa"/>
                <w:right w:w="0" w:type="dxa"/>
              </w:tblCellMar>
              <w:tblLook w:val="04A0" w:firstRow="1" w:lastRow="0" w:firstColumn="1" w:lastColumn="0" w:noHBand="0" w:noVBand="1"/>
            </w:tblPr>
            <w:tblGrid>
              <w:gridCol w:w="10725"/>
            </w:tblGrid>
            <w:tr w:rsidR="0010590F" w14:paraId="51C9E095" w14:textId="77777777">
              <w:trPr>
                <w:trHeight w:val="180"/>
                <w:tblCellSpacing w:w="0" w:type="dxa"/>
              </w:trPr>
              <w:tc>
                <w:tcPr>
                  <w:tcW w:w="0" w:type="auto"/>
                  <w:vAlign w:val="bottom"/>
                  <w:hideMark/>
                </w:tcPr>
                <w:p w14:paraId="0EAE5A46" w14:textId="77777777" w:rsidR="0010590F" w:rsidRDefault="0010590F">
                  <w:pPr>
                    <w:rPr>
                      <w:rFonts w:ascii="Arial" w:eastAsia="Times New Roman" w:hAnsi="Arial" w:cs="Arial"/>
                      <w:color w:val="666666"/>
                      <w:sz w:val="18"/>
                      <w:szCs w:val="18"/>
                    </w:rPr>
                  </w:pPr>
                  <w:r>
                    <w:rPr>
                      <w:rFonts w:ascii="Arial" w:eastAsia="Times New Roman" w:hAnsi="Arial" w:cs="Arial"/>
                      <w:color w:val="666666"/>
                      <w:sz w:val="18"/>
                      <w:szCs w:val="18"/>
                    </w:rPr>
                    <w:t>OTHER RESOURCES:</w:t>
                  </w:r>
                </w:p>
              </w:tc>
              <w:bookmarkEnd w:id="0"/>
            </w:tr>
            <w:tr w:rsidR="0010590F" w14:paraId="126E2A6C" w14:textId="77777777">
              <w:trPr>
                <w:trHeight w:val="180"/>
                <w:tblCellSpacing w:w="0" w:type="dxa"/>
              </w:trPr>
              <w:tc>
                <w:tcPr>
                  <w:tcW w:w="0" w:type="auto"/>
                  <w:vAlign w:val="center"/>
                  <w:hideMark/>
                </w:tcPr>
                <w:p w14:paraId="48B993F6" w14:textId="77777777" w:rsidR="0010590F" w:rsidRDefault="007E19DD">
                  <w:pPr>
                    <w:rPr>
                      <w:rFonts w:ascii="Arial" w:eastAsia="Times New Roman" w:hAnsi="Arial" w:cs="Arial"/>
                      <w:color w:val="666666"/>
                      <w:sz w:val="18"/>
                      <w:szCs w:val="18"/>
                    </w:rPr>
                  </w:pPr>
                  <w:hyperlink r:id="rId11" w:tgtFrame="_blank" w:history="1">
                    <w:r w:rsidR="0010590F">
                      <w:rPr>
                        <w:rStyle w:val="Hyperlink"/>
                        <w:rFonts w:ascii="Arial" w:eastAsia="Times New Roman" w:hAnsi="Arial" w:cs="Arial"/>
                        <w:sz w:val="18"/>
                        <w:szCs w:val="18"/>
                      </w:rPr>
                      <w:t>About Us</w:t>
                    </w:r>
                  </w:hyperlink>
                  <w:r w:rsidR="0010590F">
                    <w:rPr>
                      <w:rFonts w:ascii="Arial" w:eastAsia="Times New Roman" w:hAnsi="Arial" w:cs="Arial"/>
                      <w:color w:val="666666"/>
                      <w:sz w:val="18"/>
                      <w:szCs w:val="18"/>
                    </w:rPr>
                    <w:t xml:space="preserve"> | </w:t>
                  </w:r>
                  <w:hyperlink r:id="rId12" w:tgtFrame="_blank" w:history="1">
                    <w:r w:rsidR="0010590F">
                      <w:rPr>
                        <w:rStyle w:val="Hyperlink"/>
                        <w:rFonts w:ascii="Arial" w:eastAsia="Times New Roman" w:hAnsi="Arial" w:cs="Arial"/>
                        <w:sz w:val="18"/>
                        <w:szCs w:val="18"/>
                      </w:rPr>
                      <w:t>Getting Started</w:t>
                    </w:r>
                  </w:hyperlink>
                  <w:r w:rsidR="0010590F">
                    <w:rPr>
                      <w:rFonts w:ascii="Arial" w:eastAsia="Times New Roman" w:hAnsi="Arial" w:cs="Arial"/>
                      <w:color w:val="666666"/>
                      <w:sz w:val="18"/>
                      <w:szCs w:val="18"/>
                    </w:rPr>
                    <w:t xml:space="preserve"> | </w:t>
                  </w:r>
                  <w:hyperlink r:id="rId13" w:history="1">
                    <w:r w:rsidR="0010590F">
                      <w:rPr>
                        <w:rStyle w:val="Hyperlink"/>
                        <w:rFonts w:ascii="Arial" w:eastAsia="Times New Roman" w:hAnsi="Arial" w:cs="Arial"/>
                        <w:sz w:val="18"/>
                        <w:szCs w:val="18"/>
                      </w:rPr>
                      <w:t>Cybersecurity Framework</w:t>
                    </w:r>
                  </w:hyperlink>
                  <w:r w:rsidR="0010590F">
                    <w:rPr>
                      <w:rFonts w:ascii="Arial" w:eastAsia="Times New Roman" w:hAnsi="Arial" w:cs="Arial"/>
                      <w:color w:val="666666"/>
                      <w:sz w:val="18"/>
                      <w:szCs w:val="18"/>
                    </w:rPr>
                    <w:t> | </w:t>
                  </w:r>
                  <w:hyperlink r:id="rId14" w:history="1">
                    <w:r w:rsidR="0010590F">
                      <w:rPr>
                        <w:rStyle w:val="Hyperlink"/>
                        <w:rFonts w:ascii="Arial" w:eastAsia="Times New Roman" w:hAnsi="Arial" w:cs="Arial"/>
                        <w:sz w:val="18"/>
                        <w:szCs w:val="18"/>
                      </w:rPr>
                      <w:t>Assessments</w:t>
                    </w:r>
                  </w:hyperlink>
                  <w:r w:rsidR="0010590F">
                    <w:rPr>
                      <w:rFonts w:ascii="Arial" w:eastAsia="Times New Roman" w:hAnsi="Arial" w:cs="Arial"/>
                      <w:color w:val="666666"/>
                      <w:sz w:val="18"/>
                      <w:szCs w:val="18"/>
                    </w:rPr>
                    <w:t xml:space="preserve"> | </w:t>
                  </w:r>
                  <w:hyperlink r:id="rId15" w:tgtFrame="_blank" w:history="1">
                    <w:r w:rsidR="0010590F">
                      <w:rPr>
                        <w:rStyle w:val="Hyperlink"/>
                        <w:rFonts w:ascii="Arial" w:eastAsia="Times New Roman" w:hAnsi="Arial" w:cs="Arial"/>
                        <w:sz w:val="18"/>
                        <w:szCs w:val="18"/>
                      </w:rPr>
                      <w:t>Events and Media</w:t>
                    </w:r>
                  </w:hyperlink>
                  <w:r w:rsidR="0010590F">
                    <w:rPr>
                      <w:rFonts w:ascii="Arial" w:eastAsia="Times New Roman" w:hAnsi="Arial" w:cs="Arial"/>
                      <w:color w:val="666666"/>
                      <w:sz w:val="18"/>
                      <w:szCs w:val="18"/>
                    </w:rPr>
                    <w:t> | </w:t>
                  </w:r>
                  <w:hyperlink r:id="rId16" w:history="1">
                    <w:r w:rsidR="0010590F">
                      <w:rPr>
                        <w:rStyle w:val="Hyperlink"/>
                        <w:rFonts w:ascii="Arial" w:eastAsia="Times New Roman" w:hAnsi="Arial" w:cs="Arial"/>
                        <w:sz w:val="18"/>
                        <w:szCs w:val="18"/>
                      </w:rPr>
                      <w:t>Privacy</w:t>
                    </w:r>
                  </w:hyperlink>
                  <w:r w:rsidR="0010590F">
                    <w:rPr>
                      <w:rFonts w:ascii="Arial" w:eastAsia="Times New Roman" w:hAnsi="Arial" w:cs="Arial"/>
                      <w:color w:val="666666"/>
                      <w:sz w:val="18"/>
                      <w:szCs w:val="18"/>
                    </w:rPr>
                    <w:t xml:space="preserve">  </w:t>
                  </w:r>
                </w:p>
              </w:tc>
            </w:tr>
          </w:tbl>
          <w:p w14:paraId="275E33D9" w14:textId="77777777" w:rsidR="0010590F" w:rsidRDefault="0010590F">
            <w:pPr>
              <w:rPr>
                <w:rFonts w:eastAsia="Times New Roman"/>
                <w:vanish/>
              </w:rPr>
            </w:pPr>
          </w:p>
          <w:tbl>
            <w:tblPr>
              <w:tblW w:w="2250" w:type="dxa"/>
              <w:tblCellSpacing w:w="0" w:type="dxa"/>
              <w:tblCellMar>
                <w:left w:w="0" w:type="dxa"/>
                <w:right w:w="0" w:type="dxa"/>
              </w:tblCellMar>
              <w:tblLook w:val="04A0" w:firstRow="1" w:lastRow="0" w:firstColumn="1" w:lastColumn="0" w:noHBand="0" w:noVBand="1"/>
            </w:tblPr>
            <w:tblGrid>
              <w:gridCol w:w="1597"/>
              <w:gridCol w:w="113"/>
              <w:gridCol w:w="108"/>
              <w:gridCol w:w="108"/>
              <w:gridCol w:w="108"/>
              <w:gridCol w:w="108"/>
              <w:gridCol w:w="108"/>
            </w:tblGrid>
            <w:tr w:rsidR="0010590F" w14:paraId="35334BB0" w14:textId="77777777">
              <w:trPr>
                <w:trHeight w:val="180"/>
                <w:tblCellSpacing w:w="0" w:type="dxa"/>
              </w:trPr>
              <w:tc>
                <w:tcPr>
                  <w:tcW w:w="0" w:type="auto"/>
                  <w:gridSpan w:val="7"/>
                  <w:vAlign w:val="bottom"/>
                  <w:hideMark/>
                </w:tcPr>
                <w:p w14:paraId="63F7D1AA" w14:textId="77777777" w:rsidR="0010590F" w:rsidRDefault="0010590F">
                  <w:pPr>
                    <w:rPr>
                      <w:rFonts w:ascii="Arial" w:eastAsia="Times New Roman" w:hAnsi="Arial" w:cs="Arial"/>
                      <w:color w:val="666666"/>
                      <w:sz w:val="18"/>
                      <w:szCs w:val="18"/>
                    </w:rPr>
                  </w:pPr>
                  <w:r>
                    <w:rPr>
                      <w:rFonts w:ascii="Arial" w:eastAsia="Times New Roman" w:hAnsi="Arial" w:cs="Arial"/>
                      <w:color w:val="666666"/>
                      <w:sz w:val="18"/>
                      <w:szCs w:val="18"/>
                    </w:rPr>
                    <w:t>STAY CONNECTED:</w:t>
                  </w:r>
                </w:p>
              </w:tc>
            </w:tr>
            <w:tr w:rsidR="0010590F" w14:paraId="33AD56BA" w14:textId="77777777">
              <w:trPr>
                <w:tblCellSpacing w:w="0" w:type="dxa"/>
              </w:trPr>
              <w:tc>
                <w:tcPr>
                  <w:tcW w:w="615" w:type="dxa"/>
                  <w:vAlign w:val="center"/>
                  <w:hideMark/>
                </w:tcPr>
                <w:p w14:paraId="0BEB6C1E" w14:textId="77777777" w:rsidR="0010590F" w:rsidRDefault="0010590F">
                  <w:pPr>
                    <w:rPr>
                      <w:rFonts w:eastAsia="Times New Roman"/>
                    </w:rPr>
                  </w:pPr>
                  <w:r>
                    <w:rPr>
                      <w:rFonts w:eastAsia="Times New Roman"/>
                      <w:noProof/>
                      <w:color w:val="0000FF"/>
                    </w:rPr>
                    <w:drawing>
                      <wp:inline distT="0" distB="0" distL="0" distR="0" wp14:anchorId="3DFE16E9" wp14:editId="57C1AAE1">
                        <wp:extent cx="238125" cy="238125"/>
                        <wp:effectExtent l="0" t="0" r="9525" b="9525"/>
                        <wp:docPr id="2" name="Picture 2" descr="Sign up for email update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 up for email updat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vAlign w:val="center"/>
                  <w:hideMark/>
                </w:tcPr>
                <w:p w14:paraId="619F71D2" w14:textId="77777777" w:rsidR="0010590F" w:rsidRDefault="0010590F">
                  <w:pPr>
                    <w:rPr>
                      <w:rFonts w:eastAsia="Times New Roman"/>
                    </w:rPr>
                  </w:pPr>
                </w:p>
              </w:tc>
              <w:tc>
                <w:tcPr>
                  <w:tcW w:w="0" w:type="auto"/>
                  <w:vAlign w:val="center"/>
                  <w:hideMark/>
                </w:tcPr>
                <w:p w14:paraId="3CDE6499" w14:textId="77777777" w:rsidR="0010590F" w:rsidRDefault="0010590F">
                  <w:pPr>
                    <w:rPr>
                      <w:rFonts w:ascii="Times New Roman" w:eastAsia="Times New Roman" w:hAnsi="Times New Roman" w:cs="Times New Roman"/>
                      <w:sz w:val="20"/>
                      <w:szCs w:val="20"/>
                    </w:rPr>
                  </w:pPr>
                </w:p>
              </w:tc>
              <w:tc>
                <w:tcPr>
                  <w:tcW w:w="0" w:type="auto"/>
                  <w:vAlign w:val="center"/>
                  <w:hideMark/>
                </w:tcPr>
                <w:p w14:paraId="3AC61D38" w14:textId="77777777" w:rsidR="0010590F" w:rsidRDefault="0010590F">
                  <w:pPr>
                    <w:rPr>
                      <w:rFonts w:ascii="Times New Roman" w:eastAsia="Times New Roman" w:hAnsi="Times New Roman" w:cs="Times New Roman"/>
                      <w:sz w:val="20"/>
                      <w:szCs w:val="20"/>
                    </w:rPr>
                  </w:pPr>
                </w:p>
              </w:tc>
              <w:tc>
                <w:tcPr>
                  <w:tcW w:w="0" w:type="auto"/>
                  <w:vAlign w:val="center"/>
                  <w:hideMark/>
                </w:tcPr>
                <w:p w14:paraId="5D5BCCCD" w14:textId="77777777" w:rsidR="0010590F" w:rsidRDefault="0010590F">
                  <w:pPr>
                    <w:rPr>
                      <w:rFonts w:ascii="Times New Roman" w:eastAsia="Times New Roman" w:hAnsi="Times New Roman" w:cs="Times New Roman"/>
                      <w:sz w:val="20"/>
                      <w:szCs w:val="20"/>
                    </w:rPr>
                  </w:pPr>
                </w:p>
              </w:tc>
              <w:tc>
                <w:tcPr>
                  <w:tcW w:w="0" w:type="auto"/>
                  <w:vAlign w:val="center"/>
                  <w:hideMark/>
                </w:tcPr>
                <w:p w14:paraId="25CCBE0C" w14:textId="77777777" w:rsidR="0010590F" w:rsidRDefault="0010590F">
                  <w:pPr>
                    <w:rPr>
                      <w:rFonts w:ascii="Times New Roman" w:eastAsia="Times New Roman" w:hAnsi="Times New Roman" w:cs="Times New Roman"/>
                      <w:sz w:val="20"/>
                      <w:szCs w:val="20"/>
                    </w:rPr>
                  </w:pPr>
                </w:p>
              </w:tc>
              <w:tc>
                <w:tcPr>
                  <w:tcW w:w="0" w:type="auto"/>
                  <w:vAlign w:val="center"/>
                  <w:hideMark/>
                </w:tcPr>
                <w:p w14:paraId="3AA3A994" w14:textId="77777777" w:rsidR="0010590F" w:rsidRDefault="0010590F">
                  <w:pPr>
                    <w:rPr>
                      <w:rFonts w:ascii="Times New Roman" w:eastAsia="Times New Roman" w:hAnsi="Times New Roman" w:cs="Times New Roman"/>
                      <w:sz w:val="20"/>
                      <w:szCs w:val="20"/>
                    </w:rPr>
                  </w:pPr>
                </w:p>
              </w:tc>
            </w:tr>
          </w:tbl>
          <w:p w14:paraId="1BE4EDBF" w14:textId="77777777" w:rsidR="0010590F" w:rsidRDefault="0010590F">
            <w:pPr>
              <w:pStyle w:val="NormalWeb"/>
              <w:rPr>
                <w:rFonts w:ascii="Arial" w:hAnsi="Arial" w:cs="Arial"/>
                <w:color w:val="666666"/>
                <w:sz w:val="18"/>
                <w:szCs w:val="18"/>
              </w:rPr>
            </w:pPr>
            <w:r>
              <w:rPr>
                <w:rFonts w:ascii="Arial" w:hAnsi="Arial" w:cs="Arial"/>
                <w:color w:val="666666"/>
                <w:sz w:val="18"/>
                <w:szCs w:val="18"/>
              </w:rPr>
              <w:lastRenderedPageBreak/>
              <w:t>SUBSCRIBER SERVICES:</w:t>
            </w:r>
            <w:r>
              <w:rPr>
                <w:rFonts w:ascii="Arial" w:hAnsi="Arial" w:cs="Arial"/>
                <w:color w:val="666666"/>
                <w:sz w:val="18"/>
                <w:szCs w:val="18"/>
              </w:rPr>
              <w:br/>
            </w:r>
            <w:hyperlink r:id="rId19" w:tgtFrame="_blank" w:history="1">
              <w:r>
                <w:rPr>
                  <w:rStyle w:val="Hyperlink"/>
                  <w:rFonts w:ascii="Arial" w:hAnsi="Arial" w:cs="Arial"/>
                  <w:sz w:val="18"/>
                  <w:szCs w:val="18"/>
                </w:rPr>
                <w:t>Manage Preferences</w:t>
              </w:r>
            </w:hyperlink>
            <w:r>
              <w:rPr>
                <w:rFonts w:ascii="Arial" w:hAnsi="Arial" w:cs="Arial"/>
                <w:color w:val="666666"/>
                <w:sz w:val="18"/>
                <w:szCs w:val="18"/>
              </w:rPr>
              <w:t>  |  </w:t>
            </w:r>
            <w:hyperlink r:id="rId20" w:tgtFrame="_blank" w:history="1">
              <w:r>
                <w:rPr>
                  <w:rStyle w:val="Hyperlink"/>
                  <w:rFonts w:ascii="Arial" w:hAnsi="Arial" w:cs="Arial"/>
                  <w:sz w:val="18"/>
                  <w:szCs w:val="18"/>
                </w:rPr>
                <w:t>Unsubscribe</w:t>
              </w:r>
            </w:hyperlink>
            <w:r>
              <w:rPr>
                <w:rFonts w:ascii="Arial" w:hAnsi="Arial" w:cs="Arial"/>
                <w:color w:val="666666"/>
                <w:sz w:val="18"/>
                <w:szCs w:val="18"/>
              </w:rPr>
              <w:t>  |  </w:t>
            </w:r>
            <w:hyperlink r:id="rId21" w:history="1">
              <w:r>
                <w:rPr>
                  <w:rStyle w:val="Hyperlink"/>
                  <w:rFonts w:ascii="Arial" w:hAnsi="Arial" w:cs="Arial"/>
                  <w:sz w:val="18"/>
                  <w:szCs w:val="18"/>
                </w:rPr>
                <w:t>Help</w:t>
              </w:r>
            </w:hyperlink>
          </w:p>
          <w:p w14:paraId="38817980" w14:textId="77777777" w:rsidR="0010590F" w:rsidRDefault="007E19DD">
            <w:pPr>
              <w:jc w:val="center"/>
              <w:rPr>
                <w:rFonts w:eastAsia="Times New Roman"/>
              </w:rPr>
            </w:pPr>
            <w:r>
              <w:rPr>
                <w:rFonts w:eastAsia="Times New Roman"/>
              </w:rPr>
              <w:pict w14:anchorId="3BC56975">
                <v:rect id="_x0000_i1026" style="width:468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8985"/>
              <w:gridCol w:w="1740"/>
            </w:tblGrid>
            <w:tr w:rsidR="0010590F" w14:paraId="286103D2" w14:textId="77777777">
              <w:trPr>
                <w:tblCellSpacing w:w="0" w:type="dxa"/>
              </w:trPr>
              <w:tc>
                <w:tcPr>
                  <w:tcW w:w="4450" w:type="pct"/>
                  <w:vAlign w:val="center"/>
                  <w:hideMark/>
                </w:tcPr>
                <w:p w14:paraId="5A1EF76B" w14:textId="77777777" w:rsidR="0010590F" w:rsidRDefault="0010590F">
                  <w:pPr>
                    <w:rPr>
                      <w:rFonts w:ascii="Arial" w:eastAsia="Times New Roman" w:hAnsi="Arial" w:cs="Arial"/>
                      <w:color w:val="757575"/>
                      <w:sz w:val="15"/>
                      <w:szCs w:val="15"/>
                    </w:rPr>
                  </w:pPr>
                  <w:r>
                    <w:rPr>
                      <w:rFonts w:ascii="Arial" w:eastAsia="Times New Roman" w:hAnsi="Arial" w:cs="Arial"/>
                      <w:color w:val="757575"/>
                      <w:sz w:val="15"/>
                      <w:szCs w:val="15"/>
                    </w:rPr>
                    <w:t xml:space="preserve">This email was sent to </w:t>
                  </w:r>
                  <w:hyperlink r:id="rId22" w:history="1">
                    <w:r>
                      <w:rPr>
                        <w:rStyle w:val="Hyperlink"/>
                        <w:rFonts w:ascii="Arial" w:eastAsia="Times New Roman" w:hAnsi="Arial" w:cs="Arial"/>
                        <w:sz w:val="15"/>
                        <w:szCs w:val="15"/>
                      </w:rPr>
                      <w:t>aohare@tfi.org</w:t>
                    </w:r>
                  </w:hyperlink>
                  <w:r>
                    <w:rPr>
                      <w:rFonts w:ascii="Arial" w:eastAsia="Times New Roman" w:hAnsi="Arial" w:cs="Arial"/>
                      <w:color w:val="757575"/>
                      <w:sz w:val="15"/>
                      <w:szCs w:val="15"/>
                    </w:rPr>
                    <w:t xml:space="preserve"> using GovDelivery Communications Cloud on behalf of: United States Computer Emergency Readiness Team (US-CERT) · 245 Murray Lane SW </w:t>
                  </w:r>
                  <w:proofErr w:type="spellStart"/>
                  <w:r>
                    <w:rPr>
                      <w:rFonts w:ascii="Arial" w:eastAsia="Times New Roman" w:hAnsi="Arial" w:cs="Arial"/>
                      <w:color w:val="757575"/>
                      <w:sz w:val="15"/>
                      <w:szCs w:val="15"/>
                    </w:rPr>
                    <w:t>Bldg</w:t>
                  </w:r>
                  <w:proofErr w:type="spellEnd"/>
                  <w:r>
                    <w:rPr>
                      <w:rFonts w:ascii="Arial" w:eastAsia="Times New Roman" w:hAnsi="Arial" w:cs="Arial"/>
                      <w:color w:val="757575"/>
                      <w:sz w:val="15"/>
                      <w:szCs w:val="15"/>
                    </w:rPr>
                    <w:t xml:space="preserve"> 410 · Washington, DC 20598 · (888) 282-0870 </w:t>
                  </w:r>
                </w:p>
              </w:tc>
              <w:tc>
                <w:tcPr>
                  <w:tcW w:w="550" w:type="pct"/>
                  <w:vAlign w:val="center"/>
                  <w:hideMark/>
                </w:tcPr>
                <w:p w14:paraId="7106AE7E" w14:textId="77777777" w:rsidR="0010590F" w:rsidRDefault="0010590F">
                  <w:pPr>
                    <w:jc w:val="right"/>
                    <w:rPr>
                      <w:rFonts w:eastAsia="Times New Roman"/>
                    </w:rPr>
                  </w:pPr>
                  <w:r>
                    <w:rPr>
                      <w:rFonts w:eastAsia="Times New Roman"/>
                      <w:noProof/>
                      <w:color w:val="0000FF"/>
                    </w:rPr>
                    <w:drawing>
                      <wp:inline distT="0" distB="0" distL="0" distR="0" wp14:anchorId="1F6B80AD" wp14:editId="7A343826">
                        <wp:extent cx="1095375" cy="266700"/>
                        <wp:effectExtent l="0" t="0" r="9525" b="0"/>
                        <wp:docPr id="1" name="Picture 1" descr="GovDelivery logo">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Delivery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5375" cy="266700"/>
                                </a:xfrm>
                                <a:prstGeom prst="rect">
                                  <a:avLst/>
                                </a:prstGeom>
                                <a:noFill/>
                                <a:ln>
                                  <a:noFill/>
                                </a:ln>
                              </pic:spPr>
                            </pic:pic>
                          </a:graphicData>
                        </a:graphic>
                      </wp:inline>
                    </w:drawing>
                  </w:r>
                </w:p>
              </w:tc>
            </w:tr>
          </w:tbl>
          <w:p w14:paraId="2CDC666F" w14:textId="77777777" w:rsidR="0010590F" w:rsidRDefault="0010590F">
            <w:pPr>
              <w:rPr>
                <w:rFonts w:ascii="Times New Roman" w:eastAsia="Times New Roman" w:hAnsi="Times New Roman" w:cs="Times New Roman"/>
                <w:sz w:val="20"/>
                <w:szCs w:val="20"/>
              </w:rPr>
            </w:pPr>
          </w:p>
        </w:tc>
      </w:tr>
    </w:tbl>
    <w:p w14:paraId="5B3890B8" w14:textId="77777777" w:rsidR="000B355D" w:rsidRPr="0010590F" w:rsidRDefault="000B355D" w:rsidP="0010590F"/>
    <w:sectPr w:rsidR="000B355D" w:rsidRPr="00105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52FA7"/>
    <w:multiLevelType w:val="multilevel"/>
    <w:tmpl w:val="97C0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0F"/>
    <w:rsid w:val="000B355D"/>
    <w:rsid w:val="0010590F"/>
    <w:rsid w:val="007E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054A"/>
  <w15:chartTrackingRefBased/>
  <w15:docId w15:val="{5723712F-6DC4-4343-B3F9-CE7D6AE6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590F"/>
    <w:rPr>
      <w:color w:val="0000FF"/>
      <w:u w:val="single"/>
    </w:rPr>
  </w:style>
  <w:style w:type="paragraph" w:styleId="NormalWeb">
    <w:name w:val="Normal (Web)"/>
    <w:basedOn w:val="Normal"/>
    <w:uiPriority w:val="99"/>
    <w:semiHidden/>
    <w:unhideWhenUsed/>
    <w:rsid w:val="0010590F"/>
    <w:pPr>
      <w:spacing w:before="100" w:beforeAutospacing="1" w:after="100" w:afterAutospacing="1"/>
    </w:pPr>
  </w:style>
  <w:style w:type="character" w:styleId="Emphasis">
    <w:name w:val="Emphasis"/>
    <w:basedOn w:val="DefaultParagraphFont"/>
    <w:uiPriority w:val="20"/>
    <w:qFormat/>
    <w:rsid w:val="001059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3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guidance-risk-assesment-hcp.html" TargetMode="External"/><Relationship Id="rId13" Type="http://schemas.openxmlformats.org/officeDocument/2006/relationships/hyperlink" Target="https://www.us-cert.gov/ccubedvp/cybersecurity-framework" TargetMode="External"/><Relationship Id="rId18" Type="http://schemas.openxmlformats.org/officeDocument/2006/relationships/image" Target="media/image2.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ubscriberhelp.govdelivery.com/" TargetMode="External"/><Relationship Id="rId7" Type="http://schemas.openxmlformats.org/officeDocument/2006/relationships/hyperlink" Target="https://www.cdc.gov/coronavirus/2019-ncov/community/critical-workers/implementing-safety-practices.html" TargetMode="External"/><Relationship Id="rId12" Type="http://schemas.openxmlformats.org/officeDocument/2006/relationships/hyperlink" Target="https://www.us-cert.gov/ccubedvp" TargetMode="External"/><Relationship Id="rId17" Type="http://schemas.openxmlformats.org/officeDocument/2006/relationships/hyperlink" Target="http://public.govdelivery.com/accounts/USDHSUSCERT/subscriber/ne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cert.gov/privacy" TargetMode="External"/><Relationship Id="rId20" Type="http://schemas.openxmlformats.org/officeDocument/2006/relationships/hyperlink" Target="https://public.govdelivery.com/accounts/USDHSUSCERT/subscriber/one_click_unsubscribe?verification=5.0bb2a5caf5665ae951737fa7fbe49026&amp;destination=aohare%40tfi.org" TargetMode="External"/><Relationship Id="rId1" Type="http://schemas.openxmlformats.org/officeDocument/2006/relationships/numbering" Target="numbering.xml"/><Relationship Id="rId6" Type="http://schemas.openxmlformats.org/officeDocument/2006/relationships/hyperlink" Target="https://www.cdc.gov/coronavirus/2019-ncov/downloads/Essential-Critical-Workers_Dos-and-Donts.pdf" TargetMode="External"/><Relationship Id="rId11" Type="http://schemas.openxmlformats.org/officeDocument/2006/relationships/hyperlink" Target="https://www.us-cert.gov/ccubedvp" TargetMode="External"/><Relationship Id="rId24"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www.us-cert.gov/ccubedvp/press" TargetMode="External"/><Relationship Id="rId23" Type="http://schemas.openxmlformats.org/officeDocument/2006/relationships/hyperlink" Target="https://subscriberhelp.granicus.com/" TargetMode="External"/><Relationship Id="rId10" Type="http://schemas.openxmlformats.org/officeDocument/2006/relationships/hyperlink" Target="https://www.cdc.gov/coronavirus/2019-ncov/index.html" TargetMode="External"/><Relationship Id="rId19" Type="http://schemas.openxmlformats.org/officeDocument/2006/relationships/hyperlink" Target="http://public.govdelivery.com/accounts/USDHSUSCERT/subscribers/new?preferences=true" TargetMode="External"/><Relationship Id="rId4" Type="http://schemas.openxmlformats.org/officeDocument/2006/relationships/webSettings" Target="webSettings.xml"/><Relationship Id="rId9" Type="http://schemas.openxmlformats.org/officeDocument/2006/relationships/hyperlink" Target="https://www.cdc.gov/coronavirus/2019-ncov/community/critical-workers/implementing-safety-practices.html" TargetMode="External"/><Relationship Id="rId14" Type="http://schemas.openxmlformats.org/officeDocument/2006/relationships/hyperlink" Target="https://www.us-cert.gov/ccubedvp/assessments" TargetMode="External"/><Relationship Id="rId22" Type="http://schemas.openxmlformats.org/officeDocument/2006/relationships/hyperlink" Target="mailto:aohare@t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O'Hare</dc:creator>
  <cp:keywords/>
  <dc:description/>
  <cp:lastModifiedBy>Jean Payne</cp:lastModifiedBy>
  <cp:revision>2</cp:revision>
  <dcterms:created xsi:type="dcterms:W3CDTF">2020-04-09T19:06:00Z</dcterms:created>
  <dcterms:modified xsi:type="dcterms:W3CDTF">2020-04-09T19:06:00Z</dcterms:modified>
</cp:coreProperties>
</file>